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57" w:rsidRDefault="00567A57" w:rsidP="00567A57">
      <w:pPr>
        <w:pStyle w:val="Heading1"/>
        <w:jc w:val="center"/>
      </w:pPr>
      <w:r>
        <w:t>WEBSITE POSTING REQUIREMENTS</w:t>
      </w:r>
    </w:p>
    <w:p w:rsidR="00567A57" w:rsidRPr="00567A57" w:rsidRDefault="00567A57" w:rsidP="00567A57"/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i/>
          <w:sz w:val="19"/>
          <w:szCs w:val="19"/>
        </w:rPr>
      </w:pPr>
      <w:r w:rsidRPr="00567A57">
        <w:rPr>
          <w:rFonts w:ascii="PalatinoLinotype-Roman" w:hAnsi="PalatinoLinotype-Roman" w:cs="PalatinoLinotype-Roman"/>
          <w:i/>
          <w:sz w:val="19"/>
          <w:szCs w:val="19"/>
        </w:rPr>
        <w:t>A district – if they have a website – is required to post information regarding:</w:t>
      </w:r>
    </w:p>
    <w:p w:rsidR="00567A57" w:rsidRP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i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Employment opportunities (posted for 10 days before the vacancy is filled) and Employment policies (Texas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Education Code §11.163)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Policies regarding (Texas Education Code §28.004)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􀁻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Physical activity (if they have a policy) for elementary, middle and junior high students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􀁻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Number of times the school health advisory council has met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􀁻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Information on whether the district has adopted and enforces policies regarding vending machines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􀁻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Information on whether the district has adopted and enforces policies that prescribe penalties for the use of  tobacco products.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􀁻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Notification to parents that they can request in writing their childʹs physical fitness assessment results at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the end of the school year.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Electronic course information (if offered), along with other posting requirements related to the</w:t>
      </w:r>
    </w:p>
    <w:p w:rsidR="00C93BAC" w:rsidRDefault="00567A57" w:rsidP="00567A57">
      <w:pPr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PalatinoLinotype-Roman" w:hAnsi="PalatinoLinotype-Roman" w:cs="PalatinoLinotype-Roman"/>
          <w:sz w:val="19"/>
          <w:szCs w:val="19"/>
        </w:rPr>
        <w:t>program (Texas Education Code §29.909)</w:t>
      </w:r>
    </w:p>
    <w:p w:rsidR="00567A57" w:rsidRP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  <w:u w:val="single"/>
        </w:rPr>
      </w:pPr>
      <w:r w:rsidRPr="00567A57">
        <w:rPr>
          <w:rFonts w:ascii="PalatinoLinotype-Roman" w:hAnsi="PalatinoLinotype-Roman" w:cs="PalatinoLinotype-Roman"/>
          <w:color w:val="000000"/>
          <w:sz w:val="19"/>
          <w:szCs w:val="19"/>
          <w:u w:val="single"/>
        </w:rPr>
        <w:t>No later than the 10</w:t>
      </w:r>
      <w:r w:rsidRPr="00567A57">
        <w:rPr>
          <w:rFonts w:ascii="PalatinoLinotype-Roman" w:hAnsi="PalatinoLinotype-Roman" w:cs="PalatinoLinotype-Roman"/>
          <w:color w:val="000000"/>
          <w:sz w:val="16"/>
          <w:szCs w:val="16"/>
          <w:u w:val="single"/>
        </w:rPr>
        <w:t xml:space="preserve">th </w:t>
      </w:r>
      <w:r w:rsidRPr="00567A57">
        <w:rPr>
          <w:rFonts w:ascii="PalatinoLinotype-Roman" w:hAnsi="PalatinoLinotype-Roman" w:cs="PalatinoLinotype-Roman"/>
          <w:color w:val="000000"/>
          <w:sz w:val="19"/>
          <w:szCs w:val="19"/>
          <w:u w:val="single"/>
        </w:rPr>
        <w:t>day after the first day of instruction: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Campus Report Card (Texas Education Code §39.252)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District Performance Report (Texas Education Code §39.252)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Accountability rating and accreditation status of district, including a definition of each  rating and status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(Texas Education Code §39.252)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Proposed district budget summary which will remain on the website for three years after adoption (Texas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Education Code §44.0041 and House Bill 3)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Post notice of meetings (Government Code § 551.056)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If a school district does not meet the 65% instructional expenditure requirement (indicator 13) a district may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post their check registers and their gross payroll amount for the year.  If a district publishes its check registers, it should be updated at least quarterly, and the register should include: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Name of Payee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Transaction Amount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􀁻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Date of the Check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Test Administration Dates including PSAT, ACT, and other college advanced placement tests for home schooled students information. (HB 1844)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406DB2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 xml:space="preserve">Post in English and Spanish required immunizations and vaccines required or recommended by the </w:t>
      </w:r>
      <w:r>
        <w:rPr>
          <w:rFonts w:ascii="PalatinoLinotype-Roman" w:hAnsi="PalatinoLinotype-Roman" w:cs="PalatinoLinotype-Roman"/>
          <w:color w:val="406DB2"/>
          <w:sz w:val="19"/>
          <w:szCs w:val="19"/>
        </w:rPr>
        <w:t>Texas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406DB2"/>
          <w:sz w:val="19"/>
          <w:szCs w:val="19"/>
        </w:rPr>
        <w:t>Department of State Health Services,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 xml:space="preserve"> health clinics in the district that offer influenza vaccine and a link to the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Department of State Health Services Internet website providing procedures for claiming an exemption from requirements in Section 38.001, Education Code. (HB 1059)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M&amp;O tax rate if it exceeds the effective rate (Tax code 26.05b)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Notification for claimed copyright infringement (17 U.S.C. 512c)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Conflicts of interest disclosure statements and questionnaires filed (Gov Code § 176.009)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Landowner’s Bill of Rights Statement as prepared by the Attorney General (HB 1495 § 402.031)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lastRenderedPageBreak/>
        <w:t>Metered amount of electricity, water or natural gas consumed and the aggregate costs for these utilities (HB3693 Chapter 2264)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PalatinoLinotype-Roman" w:hAnsi="PalatinoLinotype-Roman" w:cs="PalatinoLinotype-Roman"/>
          <w:color w:val="000000"/>
          <w:sz w:val="19"/>
          <w:szCs w:val="19"/>
        </w:rPr>
        <w:t>A link to the portion of the Comptroller’s website that contains information related to that district if the district participates in tax abatement agreements (HB 3676)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</w:pPr>
      <w:r>
        <w:rPr>
          <w:rFonts w:ascii="PalatinoLinotype-Bold" w:hAnsi="PalatinoLinotype-Bold" w:cs="PalatinoLinotype-Bold"/>
          <w:b/>
          <w:bCs/>
          <w:color w:val="000000"/>
          <w:sz w:val="24"/>
          <w:szCs w:val="24"/>
        </w:rPr>
        <w:t>Recommended Items: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2"/>
          <w:szCs w:val="12"/>
        </w:rPr>
        <w:t>􀂄</w:t>
      </w:r>
      <w:r>
        <w:rPr>
          <w:rFonts w:ascii="Wingdings-Regular" w:hAnsi="Wingdings-Regular" w:cs="Wingdings-Regular"/>
          <w:color w:val="000000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color w:val="000000"/>
          <w:sz w:val="19"/>
          <w:szCs w:val="19"/>
        </w:rPr>
        <w:t>School Calendar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Student Code of Conduct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7"/>
          <w:szCs w:val="17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 xml:space="preserve">Handbook(s) / District Crisis Plan </w:t>
      </w:r>
      <w:r>
        <w:rPr>
          <w:rFonts w:ascii="PalatinoLinotype-Roman" w:hAnsi="PalatinoLinotype-Roman" w:cs="PalatinoLinotype-Roman"/>
          <w:sz w:val="17"/>
          <w:szCs w:val="17"/>
        </w:rPr>
        <w:t>(include the rights of employees to assault leave in employee handbook)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School Board Minutes/Agendas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Calendars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Honor Roll Information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UIL Sportsmanship Manual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Site</w:t>
      </w:r>
      <w:r>
        <w:rPr>
          <w:rFonts w:ascii="Cambria Math" w:hAnsi="Cambria Math" w:cs="Cambria Math"/>
          <w:sz w:val="19"/>
          <w:szCs w:val="19"/>
        </w:rPr>
        <w:t>‐</w:t>
      </w:r>
      <w:r>
        <w:rPr>
          <w:rFonts w:ascii="PalatinoLinotype-Roman" w:hAnsi="PalatinoLinotype-Roman" w:cs="PalatinoLinotype-Roman"/>
          <w:sz w:val="19"/>
          <w:szCs w:val="19"/>
        </w:rPr>
        <w:t>based Decision Making Team Minutes/Agendas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District Plan –(must include the Dating Violence Policy ~HB121)</w:t>
      </w:r>
    </w:p>
    <w:p w:rsidR="00567A57" w:rsidRDefault="00567A57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  <w:r>
        <w:rPr>
          <w:rFonts w:ascii="Arial" w:hAnsi="Arial" w:cs="Arial"/>
          <w:sz w:val="12"/>
          <w:szCs w:val="12"/>
        </w:rPr>
        <w:t>􀂄</w:t>
      </w:r>
      <w:r>
        <w:rPr>
          <w:rFonts w:ascii="Wingdings-Regular" w:hAnsi="Wingdings-Regular" w:cs="Wingdings-Regular"/>
          <w:sz w:val="12"/>
          <w:szCs w:val="12"/>
        </w:rPr>
        <w:t xml:space="preserve"> </w:t>
      </w:r>
      <w:r>
        <w:rPr>
          <w:rFonts w:ascii="PalatinoLinotype-Roman" w:hAnsi="PalatinoLinotype-Roman" w:cs="PalatinoLinotype-Roman"/>
          <w:sz w:val="19"/>
          <w:szCs w:val="19"/>
        </w:rPr>
        <w:t>Availability of programs for which a student can earn college credit. (SB 282)</w:t>
      </w:r>
    </w:p>
    <w:p w:rsidR="00803D63" w:rsidRDefault="00803D63" w:rsidP="00567A57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sz w:val="19"/>
          <w:szCs w:val="19"/>
        </w:rPr>
      </w:pPr>
    </w:p>
    <w:p w:rsidR="00803D63" w:rsidRDefault="00803D63" w:rsidP="00567A57">
      <w:pPr>
        <w:autoSpaceDE w:val="0"/>
        <w:autoSpaceDN w:val="0"/>
        <w:adjustRightInd w:val="0"/>
        <w:spacing w:after="0" w:line="240" w:lineRule="auto"/>
      </w:pPr>
    </w:p>
    <w:sectPr w:rsidR="00803D63" w:rsidSect="00C93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77" w:rsidRDefault="00042F77" w:rsidP="000926AF">
      <w:pPr>
        <w:spacing w:after="0" w:line="240" w:lineRule="auto"/>
      </w:pPr>
      <w:r>
        <w:separator/>
      </w:r>
    </w:p>
  </w:endnote>
  <w:endnote w:type="continuationSeparator" w:id="0">
    <w:p w:rsidR="00042F77" w:rsidRDefault="00042F77" w:rsidP="0009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Default="000926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Pr="000926AF" w:rsidRDefault="000926AF">
    <w:pPr>
      <w:pStyle w:val="Footer"/>
      <w:rPr>
        <w:sz w:val="16"/>
        <w:szCs w:val="16"/>
      </w:rPr>
    </w:pPr>
    <w:r w:rsidRPr="000926AF">
      <w:rPr>
        <w:sz w:val="16"/>
        <w:szCs w:val="16"/>
      </w:rPr>
      <w:t xml:space="preserve">Information obtained from </w:t>
    </w:r>
    <w:hyperlink r:id="rId1" w:history="1">
      <w:r w:rsidRPr="000926AF">
        <w:rPr>
          <w:rStyle w:val="Hyperlink"/>
          <w:sz w:val="16"/>
          <w:szCs w:val="16"/>
        </w:rPr>
        <w:t>www.esc9.net</w:t>
      </w:r>
    </w:hyperlink>
    <w:r w:rsidRPr="000926AF">
      <w:rPr>
        <w:sz w:val="16"/>
        <w:szCs w:val="16"/>
      </w:rPr>
      <w:t>, Susan Sullivan author 9-2009.</w:t>
    </w:r>
  </w:p>
  <w:p w:rsidR="000926AF" w:rsidRDefault="000926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Default="000926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77" w:rsidRDefault="00042F77" w:rsidP="000926AF">
      <w:pPr>
        <w:spacing w:after="0" w:line="240" w:lineRule="auto"/>
      </w:pPr>
      <w:r>
        <w:separator/>
      </w:r>
    </w:p>
  </w:footnote>
  <w:footnote w:type="continuationSeparator" w:id="0">
    <w:p w:rsidR="00042F77" w:rsidRDefault="00042F77" w:rsidP="0009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Default="000926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Default="000926A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AF" w:rsidRDefault="000926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A57"/>
    <w:rsid w:val="00042F77"/>
    <w:rsid w:val="000926AF"/>
    <w:rsid w:val="00435412"/>
    <w:rsid w:val="00567A57"/>
    <w:rsid w:val="00803D63"/>
    <w:rsid w:val="00C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AC"/>
  </w:style>
  <w:style w:type="paragraph" w:styleId="Heading1">
    <w:name w:val="heading 1"/>
    <w:basedOn w:val="Normal"/>
    <w:next w:val="Normal"/>
    <w:link w:val="Heading1Char"/>
    <w:uiPriority w:val="9"/>
    <w:qFormat/>
    <w:rsid w:val="00567A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A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A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A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6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0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6AF"/>
  </w:style>
  <w:style w:type="paragraph" w:styleId="Footer">
    <w:name w:val="footer"/>
    <w:basedOn w:val="Normal"/>
    <w:link w:val="FooterChar"/>
    <w:uiPriority w:val="99"/>
    <w:unhideWhenUsed/>
    <w:rsid w:val="000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6AF"/>
  </w:style>
  <w:style w:type="paragraph" w:styleId="BalloonText">
    <w:name w:val="Balloon Text"/>
    <w:basedOn w:val="Normal"/>
    <w:link w:val="BalloonTextChar"/>
    <w:uiPriority w:val="99"/>
    <w:semiHidden/>
    <w:unhideWhenUsed/>
    <w:rsid w:val="00092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2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c9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stephen.miller</dc:creator>
  <cp:keywords/>
  <dc:description/>
  <cp:lastModifiedBy>stephen.miller</cp:lastModifiedBy>
  <cp:revision>4</cp:revision>
  <dcterms:created xsi:type="dcterms:W3CDTF">2010-09-20T14:41:00Z</dcterms:created>
  <dcterms:modified xsi:type="dcterms:W3CDTF">2010-09-20T14:53:00Z</dcterms:modified>
</cp:coreProperties>
</file>